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黑体" w:hAnsi="黑体" w:eastAsia="黑体"/>
          <w:color w:val="000000"/>
          <w:sz w:val="28"/>
        </w:rPr>
      </w:pPr>
      <w:r>
        <w:rPr>
          <w:rFonts w:ascii="黑体" w:hAnsi="黑体" w:eastAsia="黑体"/>
          <w:color w:val="000000"/>
          <w:sz w:val="32"/>
          <w:szCs w:val="28"/>
        </w:rPr>
        <w:t>附件</w:t>
      </w:r>
      <w:r>
        <w:rPr>
          <w:rFonts w:hint="eastAsia" w:ascii="黑体" w:hAnsi="黑体" w:eastAsia="黑体"/>
          <w:color w:val="000000"/>
          <w:sz w:val="32"/>
          <w:szCs w:val="28"/>
          <w:lang w:val="en-US" w:eastAsia="zh-CN"/>
        </w:rPr>
        <w:t>2</w:t>
      </w:r>
      <w:r>
        <w:rPr>
          <w:rFonts w:ascii="黑体" w:hAnsi="黑体" w:eastAsia="黑体"/>
          <w:color w:val="000000"/>
          <w:sz w:val="32"/>
          <w:szCs w:val="28"/>
        </w:rPr>
        <w:t>：</w:t>
      </w:r>
      <w:r>
        <w:rPr>
          <w:rFonts w:ascii="黑体" w:hAnsi="黑体" w:eastAsia="黑体"/>
          <w:color w:val="000000"/>
          <w:sz w:val="24"/>
          <w:szCs w:val="22"/>
        </w:rPr>
        <w:t xml:space="preserve"> </w:t>
      </w:r>
      <w:r>
        <w:rPr>
          <w:rFonts w:ascii="黑体" w:hAnsi="黑体" w:eastAsia="黑体"/>
          <w:color w:val="000000"/>
          <w:sz w:val="28"/>
          <w:szCs w:val="24"/>
        </w:rPr>
        <w:t xml:space="preserve">  </w:t>
      </w:r>
    </w:p>
    <w:tbl>
      <w:tblPr>
        <w:tblStyle w:val="3"/>
        <w:tblpPr w:leftFromText="180" w:rightFromText="180" w:vertAnchor="page" w:horzAnchor="page" w:tblpX="1876" w:tblpY="3983"/>
        <w:tblOverlap w:val="never"/>
        <w:tblW w:w="126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71"/>
        <w:gridCol w:w="757"/>
        <w:gridCol w:w="819"/>
        <w:gridCol w:w="1451"/>
        <w:gridCol w:w="1350"/>
        <w:gridCol w:w="952"/>
        <w:gridCol w:w="1575"/>
        <w:gridCol w:w="2250"/>
        <w:gridCol w:w="1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招聘岗位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招聘人数（人）</w:t>
            </w:r>
          </w:p>
        </w:tc>
        <w:tc>
          <w:tcPr>
            <w:tcW w:w="75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资格条件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 w:val="20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年龄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专业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其他（包括高职称人才、高技能人才等需求）</w:t>
            </w:r>
          </w:p>
        </w:tc>
        <w:tc>
          <w:tcPr>
            <w:tcW w:w="13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作物研究、畜禽水产研究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专业技术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年3月1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日以后出生； 取得正高职称资格者可放宽到197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年3月1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日以后出生。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博士研究生；取得正高职称资格者放宽到本科及以上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取得学历相应学位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作物遗传育种、生物化学与分子生物学、作物栽培学与耕作学、微生物学、蔬菜学、 动物遗传育种与繁殖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动物遗传育种与繁殖专业要求：家禽研究方向，有家禽育种经验者优先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取得正高职称资格者对专业不作要求，须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从事作物遗传育种相关工作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eastAsia="zh-CN"/>
              </w:rPr>
              <w:t>经历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绵阳市农业科学研究院2023年上半年公开考核招聘专业技术人员岗位和条件一览表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（20</w:t>
      </w:r>
      <w:r>
        <w:rPr>
          <w:rFonts w:hint="eastAsia"/>
          <w:b/>
          <w:sz w:val="28"/>
          <w:szCs w:val="28"/>
        </w:rPr>
        <w:t>23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3</w:t>
      </w:r>
      <w:r>
        <w:rPr>
          <w:b/>
          <w:sz w:val="28"/>
          <w:szCs w:val="28"/>
        </w:rPr>
        <w:t>月）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/>
    <w:p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FB8AE"/>
    <w:rsid w:val="67EB6509"/>
    <w:rsid w:val="6EBFB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脚注文本1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customStyle="1" w:styleId="7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2023-03-16T10:50:00Z</dcterms:created>
  <dc:creator>四斋蒸鹅心</dc:creator>
  <cp:lastModifiedBy>四斋蒸鹅心</cp:lastModifiedBy>
  <dcterms:modified xsi:type="dcterms:W3CDTF">2023-03-16T10:51:03Z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